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i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u w:val="single"/>
          <w:rtl w:val="0"/>
        </w:rPr>
        <w:t xml:space="preserve">Ref. Edital Diretoria FAO 014/2025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Eleição de Representante dos Professores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(exceto titulares)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 junto à Egrégia Congregação da FAO - 01 vaga (titular e 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(doze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maio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da Secretaria Geral da FAO UFMG,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secgeral@odonto.ufmg.br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Eleição para 01 (uma) vaga de Titular e Suplente para Representante dos Professores (exceto titulares) junto à Egrégia Congregação da FAO UFMG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014/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09 de maio de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geral@odonto.ufmg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yuE90SbMNpvC8BmBta4f+Wbtw==">CgMxLjA4AHIhMTdlNngxTEJYcW5UdUxGdVN1bjd5TWk1TzlVNTktb1N2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